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Project Status Report</w:t>
      </w:r>
    </w:p>
    <w:p>
      <w:r>
        <w:t xml:space="preserve">Prepared for the operations team. This sample shows how headings, paragraphs and tables come through the Word to PDF conversion.</w:t>
      </w:r>
    </w:p>
    <w:p>
      <w:pPr>
        <w:pStyle w:val="Heading1"/>
      </w:pPr>
      <w:r>
        <w:t xml:space="preserve">Summary</w:t>
      </w:r>
    </w:p>
    <w:p>
      <w:r>
        <w:t xml:space="preserve">The rollout of the new scheduling system reached all three regional offices this quarter. Average booking time fell from 4 minutes to under 90 seconds, and support tickets about double bookings dropped by 62%.</w:t>
      </w:r>
    </w:p>
    <w:p>
      <w:r>
        <w:t xml:space="preserve">Two items remain open: the export to the payroll system and training for weekend staff. Both are planned for the first half of next quarter.</w:t>
      </w:r>
    </w:p>
    <w:tbl>
      <w:tblPr>
        <w:tblStyle w:val="TableGrid"/>
        <w:tblW w:w="0" w:type="auto"/>
      </w:tblPr>
      <w:tblGrid>
        <w:gridCol w:w="3400"/>
        <w:gridCol w:w="2000"/>
        <w:gridCol w:w="1800"/>
        <w:gridCol w:w="1500"/>
      </w:tblGrid>
      <w:tr>
        <w:tc>
          <w:tcPr>
            <w:tcW w:w="3400" w:type="dxa"/>
            <w:shd w:val="clear" w:color="auto" w:fill="D9E2F3"/>
          </w:tcPr>
          <w:p>
            <w:r>
              <w:rPr>
                <w:b/>
              </w:rPr>
              <w:t xml:space="preserve">Milestone</w:t>
            </w:r>
          </w:p>
        </w:tc>
        <w:tc>
          <w:tcPr>
            <w:tcW w:w="2000" w:type="dxa"/>
            <w:shd w:val="clear" w:color="auto" w:fill="D9E2F3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Status</w:t>
            </w:r>
          </w:p>
        </w:tc>
        <w:tc>
          <w:tcPr>
            <w:tcW w:w="1500" w:type="dxa"/>
            <w:shd w:val="clear" w:color="auto" w:fill="D9E2F3"/>
          </w:tcPr>
          <w:p>
            <w:r>
              <w:rPr>
                <w:b/>
              </w:rPr>
              <w:t xml:space="preserve">Due</w:t>
            </w:r>
          </w:p>
        </w:tc>
      </w:tr>
      <w:tr>
        <w:tc>
          <w:tcPr>
            <w:tcW w:w="3400" w:type="dxa"/>
          </w:tcPr>
          <w:p>
            <w:r>
              <w:t xml:space="preserve">Pilot in head office</w:t>
            </w:r>
          </w:p>
        </w:tc>
        <w:tc>
          <w:tcPr>
            <w:tcW w:w="2000" w:type="dxa"/>
          </w:tcPr>
          <w:p>
            <w:r>
              <w:t xml:space="preserve">A. Rivera</w:t>
            </w:r>
          </w:p>
        </w:tc>
        <w:tc>
          <w:tcPr>
            <w:tcW w:w="1800" w:type="dxa"/>
          </w:tcPr>
          <w:p>
            <w:r>
              <w:t xml:space="preserve">Done</w:t>
            </w:r>
          </w:p>
        </w:tc>
        <w:tc>
          <w:tcPr>
            <w:tcW w:w="1500" w:type="dxa"/>
          </w:tcPr>
          <w:p>
            <w:r>
              <w:t xml:space="preserve">Mar 14</w:t>
            </w:r>
          </w:p>
        </w:tc>
      </w:tr>
      <w:tr>
        <w:tc>
          <w:tcPr>
            <w:tcW w:w="3400" w:type="dxa"/>
          </w:tcPr>
          <w:p>
            <w:r>
              <w:t xml:space="preserve">Regional rollout</w:t>
            </w:r>
          </w:p>
        </w:tc>
        <w:tc>
          <w:tcPr>
            <w:tcW w:w="2000" w:type="dxa"/>
          </w:tcPr>
          <w:p>
            <w:r>
              <w:t xml:space="preserve">J. Chen</w:t>
            </w:r>
          </w:p>
        </w:tc>
        <w:tc>
          <w:tcPr>
            <w:tcW w:w="1800" w:type="dxa"/>
          </w:tcPr>
          <w:p>
            <w:r>
              <w:t xml:space="preserve">Done</w:t>
            </w:r>
          </w:p>
        </w:tc>
        <w:tc>
          <w:tcPr>
            <w:tcW w:w="1500" w:type="dxa"/>
          </w:tcPr>
          <w:p>
            <w:r>
              <w:t xml:space="preserve">May 30</w:t>
            </w:r>
          </w:p>
        </w:tc>
      </w:tr>
      <w:tr>
        <w:tc>
          <w:tcPr>
            <w:tcW w:w="3400" w:type="dxa"/>
          </w:tcPr>
          <w:p>
            <w:r>
              <w:t xml:space="preserve">Payroll export</w:t>
            </w:r>
          </w:p>
        </w:tc>
        <w:tc>
          <w:tcPr>
            <w:tcW w:w="2000" w:type="dxa"/>
          </w:tcPr>
          <w:p>
            <w:r>
              <w:t xml:space="preserve">S. Okafor</w:t>
            </w:r>
          </w:p>
        </w:tc>
        <w:tc>
          <w:tcPr>
            <w:tcW w:w="1800" w:type="dxa"/>
          </w:tcPr>
          <w:p>
            <w:r>
              <w:t xml:space="preserve">In progress</w:t>
            </w:r>
          </w:p>
        </w:tc>
        <w:tc>
          <w:tcPr>
            <w:tcW w:w="1500" w:type="dxa"/>
          </w:tcPr>
          <w:p>
            <w:r>
              <w:t xml:space="preserve">Aug 15</w:t>
            </w:r>
          </w:p>
        </w:tc>
      </w:tr>
      <w:tr>
        <w:tc>
          <w:tcPr>
            <w:tcW w:w="3400" w:type="dxa"/>
          </w:tcPr>
          <w:p>
            <w:r>
              <w:t xml:space="preserve">Weekend staff training</w:t>
            </w:r>
          </w:p>
        </w:tc>
        <w:tc>
          <w:tcPr>
            <w:tcW w:w="2000" w:type="dxa"/>
          </w:tcPr>
          <w:p>
            <w:r>
              <w:t xml:space="preserve">M. Novak</w:t>
            </w:r>
          </w:p>
        </w:tc>
        <w:tc>
          <w:tcPr>
            <w:tcW w:w="1800" w:type="dxa"/>
          </w:tcPr>
          <w:p>
            <w:r>
              <w:t xml:space="preserve">Planned</w:t>
            </w:r>
          </w:p>
        </w:tc>
        <w:tc>
          <w:tcPr>
            <w:tcW w:w="1500" w:type="dxa"/>
          </w:tcPr>
          <w:p>
            <w:r>
              <w:t xml:space="preserve">Sep 5</w:t>
            </w:r>
          </w:p>
        </w:tc>
      </w:tr>
    </w:tbl>
    <w:p>
      <w:pPr>
        <w:pStyle w:val="Heading1"/>
      </w:pPr>
      <w:r>
        <w:t xml:space="preserve">Next steps</w:t>
      </w:r>
    </w:p>
    <w:p>
      <w:r>
        <w:t xml:space="preserve">Finish the payroll export and test it against two pay cycles before switching over. Schedule four short training sessions for weekend staff, recorded for later viewing.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rFonts w:ascii="Calibri Light" w:hAnsi="Calibri Light"/>
      <w:color w:val="1F3864"/>
      <w:sz w:val="52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rFonts w:ascii="Calibri Light" w:hAnsi="Calibri Light"/>
      <w:color w:val="2F5496"/>
      <w:sz w:val="32"/>
    </w:rPr>
  </w:style>
  <w:style w:type="table" w:styleId="TableGrid">
    <w:name w:val="Table Grid"/>
    <w:tblPr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left w:w="108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Microsoft Office Word</Application>
  <Pages>1</Pages>
</Properties>
</file>

<file path=docProps/core.xml><?xml version="1.0" encoding="utf-8"?>
<cp:coreProperties xmlns:cp="http://schemas.openxmlformats.org/package/2006/metadata/core-properties" xmlns:dc="http://purl.org/dc/elements/1.1/">
  <dc:title>Project Status Report</dc:title>
</cp:coreProperties>
</file>